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45" w:rsidRDefault="00AD16D9" w:rsidP="00BB4145">
      <w:pPr>
        <w:pStyle w:val="a5"/>
        <w:jc w:val="center"/>
        <w:rPr>
          <w:sz w:val="28"/>
          <w:szCs w:val="28"/>
        </w:rPr>
      </w:pPr>
      <w:r w:rsidRPr="00AD16D9">
        <w:pict>
          <v:rect id="_x0000_s1026" style="position:absolute;left:0;text-align:left;margin-left:10.25pt;margin-top:-62.3pt;width:640.25pt;height:6.6pt;rotation:-12086952fd;z-index:251660288;mso-position-horizontal-relative:page;mso-position-vertical-relative:page;mso-height-relative:top-margin-area" o:allowincell="f" fillcolor="#4bacc6" strokecolor="#31849b">
            <w10:wrap anchorx="page" anchory="margin"/>
          </v:rect>
        </w:pict>
      </w:r>
      <w:r w:rsidR="00BB4145">
        <w:rPr>
          <w:sz w:val="28"/>
          <w:szCs w:val="28"/>
        </w:rPr>
        <w:t>ФГБУЗ КБ №</w:t>
      </w:r>
      <w:r w:rsidR="00230762">
        <w:rPr>
          <w:sz w:val="28"/>
          <w:szCs w:val="28"/>
        </w:rPr>
        <w:t xml:space="preserve"> </w:t>
      </w:r>
      <w:r w:rsidR="00BB4145">
        <w:rPr>
          <w:sz w:val="28"/>
          <w:szCs w:val="28"/>
        </w:rPr>
        <w:t>81 ФМБА России</w:t>
      </w:r>
    </w:p>
    <w:p w:rsidR="00BB4145" w:rsidRDefault="00BB4145" w:rsidP="00BB414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МБУ «Центральная городская библиотека»</w:t>
      </w:r>
    </w:p>
    <w:p w:rsidR="00BB4145" w:rsidRDefault="00BB4145" w:rsidP="00BB414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Отдел «Гармония»</w:t>
      </w:r>
    </w:p>
    <w:p w:rsidR="00BB4145" w:rsidRDefault="00BB4145" w:rsidP="00BB414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B4145" w:rsidRDefault="00BB4145" w:rsidP="00BB414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B4145" w:rsidRDefault="00BB4145" w:rsidP="00BB414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B4145" w:rsidRDefault="00BB4145" w:rsidP="00BB414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B4145" w:rsidRDefault="00BB4145" w:rsidP="00BB414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B4145" w:rsidRPr="00C1003F" w:rsidRDefault="00BB4145" w:rsidP="00BB4145">
      <w:pPr>
        <w:spacing w:line="276" w:lineRule="auto"/>
        <w:ind w:firstLine="0"/>
        <w:jc w:val="center"/>
        <w:rPr>
          <w:rFonts w:ascii="Times New Roman" w:hAnsi="Times New Roman"/>
          <w:color w:val="FF00FF"/>
          <w:sz w:val="72"/>
          <w:szCs w:val="72"/>
        </w:rPr>
      </w:pPr>
      <w:r w:rsidRPr="00C1003F">
        <w:rPr>
          <w:rFonts w:ascii="Times New Roman" w:hAnsi="Times New Roman"/>
          <w:color w:val="FF00FF"/>
          <w:sz w:val="72"/>
          <w:szCs w:val="72"/>
        </w:rPr>
        <w:t>Ревматология детского возраста</w:t>
      </w:r>
    </w:p>
    <w:p w:rsidR="00BB4145" w:rsidRDefault="00BB4145" w:rsidP="00BB4145">
      <w:pPr>
        <w:pStyle w:val="a5"/>
        <w:jc w:val="center"/>
        <w:rPr>
          <w:sz w:val="44"/>
          <w:szCs w:val="44"/>
        </w:rPr>
      </w:pPr>
      <w:r>
        <w:rPr>
          <w:sz w:val="44"/>
          <w:szCs w:val="44"/>
        </w:rPr>
        <w:t>Информационный список</w:t>
      </w:r>
    </w:p>
    <w:p w:rsidR="00BB4145" w:rsidRDefault="00BB4145" w:rsidP="00BB4145">
      <w:pPr>
        <w:pStyle w:val="a5"/>
        <w:jc w:val="center"/>
        <w:rPr>
          <w:sz w:val="20"/>
          <w:szCs w:val="20"/>
        </w:rPr>
      </w:pPr>
    </w:p>
    <w:p w:rsidR="00BB4145" w:rsidRDefault="00BB4145" w:rsidP="00BB4145">
      <w:pPr>
        <w:pStyle w:val="a5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Новые публикации в медицинских периодических изданиях </w:t>
      </w:r>
    </w:p>
    <w:p w:rsidR="00BB4145" w:rsidRDefault="00BB4145" w:rsidP="00BB4145">
      <w:pPr>
        <w:pStyle w:val="a5"/>
        <w:jc w:val="center"/>
        <w:rPr>
          <w:sz w:val="36"/>
          <w:szCs w:val="36"/>
        </w:rPr>
      </w:pPr>
      <w:r>
        <w:rPr>
          <w:sz w:val="36"/>
          <w:szCs w:val="36"/>
        </w:rPr>
        <w:t>за 2012 год</w:t>
      </w:r>
    </w:p>
    <w:p w:rsidR="00BB4145" w:rsidRPr="00C1003F" w:rsidRDefault="00BB4145" w:rsidP="00BB4145">
      <w:pPr>
        <w:pStyle w:val="a5"/>
        <w:jc w:val="center"/>
        <w:rPr>
          <w:color w:val="FF00FF"/>
          <w:sz w:val="36"/>
          <w:szCs w:val="36"/>
        </w:rPr>
      </w:pPr>
    </w:p>
    <w:p w:rsidR="00BB4145" w:rsidRDefault="00BB4145" w:rsidP="00BB4145">
      <w:pPr>
        <w:pStyle w:val="a5"/>
        <w:jc w:val="center"/>
        <w:rPr>
          <w:sz w:val="36"/>
          <w:szCs w:val="36"/>
        </w:rPr>
      </w:pPr>
    </w:p>
    <w:p w:rsidR="00BB4145" w:rsidRDefault="00BB4145" w:rsidP="00BB4145">
      <w:pPr>
        <w:pStyle w:val="a5"/>
        <w:jc w:val="center"/>
        <w:rPr>
          <w:sz w:val="36"/>
          <w:szCs w:val="36"/>
        </w:rPr>
      </w:pPr>
    </w:p>
    <w:p w:rsidR="00BB4145" w:rsidRDefault="000E4927" w:rsidP="00BB4145">
      <w:pPr>
        <w:pStyle w:val="a5"/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944368" cy="2238375"/>
            <wp:effectExtent l="19050" t="0" r="8382" b="0"/>
            <wp:docPr id="4" name="Рисунок 4" descr="http://im3-tub-ru.yandex.net/i?id=159845069-2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159845069-22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68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145" w:rsidRDefault="00BB4145" w:rsidP="00BB4145">
      <w:pPr>
        <w:pStyle w:val="a5"/>
        <w:jc w:val="center"/>
        <w:rPr>
          <w:sz w:val="36"/>
          <w:szCs w:val="36"/>
        </w:rPr>
      </w:pPr>
    </w:p>
    <w:p w:rsidR="00BB4145" w:rsidRDefault="00BB4145" w:rsidP="00BB4145">
      <w:pPr>
        <w:pStyle w:val="a5"/>
        <w:jc w:val="center"/>
        <w:rPr>
          <w:sz w:val="36"/>
          <w:szCs w:val="36"/>
        </w:rPr>
      </w:pPr>
    </w:p>
    <w:p w:rsidR="00BB4145" w:rsidRDefault="00BB4145" w:rsidP="00BB4145">
      <w:pPr>
        <w:pStyle w:val="a5"/>
        <w:jc w:val="center"/>
        <w:rPr>
          <w:sz w:val="36"/>
          <w:szCs w:val="36"/>
        </w:rPr>
      </w:pPr>
    </w:p>
    <w:p w:rsidR="00BB4145" w:rsidRDefault="00BB4145" w:rsidP="00BB4145">
      <w:pPr>
        <w:pStyle w:val="a5"/>
        <w:jc w:val="center"/>
        <w:rPr>
          <w:sz w:val="36"/>
          <w:szCs w:val="36"/>
        </w:rPr>
      </w:pPr>
    </w:p>
    <w:p w:rsidR="00BB4145" w:rsidRDefault="00BB4145" w:rsidP="00BB4145">
      <w:pPr>
        <w:pStyle w:val="a5"/>
        <w:jc w:val="center"/>
        <w:rPr>
          <w:sz w:val="36"/>
          <w:szCs w:val="36"/>
        </w:rPr>
      </w:pPr>
    </w:p>
    <w:p w:rsidR="00BB4145" w:rsidRDefault="00BB4145" w:rsidP="00BB4145">
      <w:pPr>
        <w:pStyle w:val="a5"/>
        <w:jc w:val="center"/>
        <w:rPr>
          <w:sz w:val="36"/>
          <w:szCs w:val="36"/>
        </w:rPr>
      </w:pPr>
    </w:p>
    <w:p w:rsidR="00BB4145" w:rsidRPr="00451F67" w:rsidRDefault="00BB4145" w:rsidP="00BB414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51F67">
        <w:rPr>
          <w:rFonts w:ascii="Times New Roman" w:hAnsi="Times New Roman"/>
          <w:sz w:val="28"/>
          <w:szCs w:val="28"/>
        </w:rPr>
        <w:t>Северск</w:t>
      </w:r>
      <w:proofErr w:type="spellEnd"/>
      <w:r w:rsidRPr="00451F67">
        <w:rPr>
          <w:rFonts w:ascii="Times New Roman" w:hAnsi="Times New Roman"/>
          <w:sz w:val="28"/>
          <w:szCs w:val="28"/>
        </w:rPr>
        <w:t xml:space="preserve"> - 2013 (апрель)</w:t>
      </w:r>
    </w:p>
    <w:p w:rsidR="00BB4145" w:rsidRDefault="00BB4145" w:rsidP="0023076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список включены новые публикации из медицинских периодических изданий за 2012 год.</w:t>
      </w:r>
    </w:p>
    <w:p w:rsidR="00BB4145" w:rsidRDefault="00BB4145" w:rsidP="0023076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исчерпывающую полноту список не претендует.</w:t>
      </w:r>
    </w:p>
    <w:p w:rsidR="00BB4145" w:rsidRDefault="00BB4145" w:rsidP="0023076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дополнительными справками и консультациями обращаться в отдел «Гармония» МБУ ЦГБ по адресу: ул. Курчатова, 16, 3-й этаж,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="00230762">
        <w:rPr>
          <w:rFonts w:ascii="Times New Roman" w:hAnsi="Times New Roman"/>
          <w:sz w:val="24"/>
          <w:szCs w:val="24"/>
        </w:rPr>
        <w:t>аб</w:t>
      </w:r>
      <w:proofErr w:type="spellEnd"/>
      <w:r>
        <w:rPr>
          <w:rFonts w:ascii="Times New Roman" w:hAnsi="Times New Roman"/>
          <w:sz w:val="24"/>
          <w:szCs w:val="24"/>
        </w:rPr>
        <w:t>. 33</w:t>
      </w:r>
      <w:r w:rsidR="002307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тел. 52-62-42</w:t>
      </w:r>
    </w:p>
    <w:p w:rsidR="00BB4145" w:rsidRDefault="00BB4145" w:rsidP="0023076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Составители: врач-методист КБ № 81   Анисимова С. П.</w:t>
      </w:r>
    </w:p>
    <w:p w:rsidR="00BB4145" w:rsidRDefault="00BB4145" w:rsidP="00230762">
      <w:pPr>
        <w:spacing w:line="240" w:lineRule="auto"/>
        <w:ind w:left="1415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библиотекарь отдела «Гармония» ЦГБ  Аникина Е. С.</w:t>
      </w:r>
    </w:p>
    <w:p w:rsidR="00BB4145" w:rsidRDefault="00BB41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E4927" w:rsidRDefault="000E4927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E4927">
        <w:rPr>
          <w:rFonts w:ascii="Times New Roman" w:hAnsi="Times New Roman"/>
          <w:sz w:val="24"/>
          <w:szCs w:val="24"/>
        </w:rPr>
        <w:lastRenderedPageBreak/>
        <w:t>Алексеева, Екатерина Иосифовна. Когда  бушует иммунная система / Е. И. Алексеева; [беседовал] А. Рылов // Медицинский вестник</w:t>
      </w:r>
      <w:r>
        <w:rPr>
          <w:rFonts w:ascii="Times New Roman" w:hAnsi="Times New Roman"/>
          <w:sz w:val="24"/>
          <w:szCs w:val="24"/>
        </w:rPr>
        <w:t xml:space="preserve">. - 2012. - 20 июля. - </w:t>
      </w:r>
      <w:r w:rsidRPr="000E4927">
        <w:rPr>
          <w:rFonts w:ascii="Times New Roman" w:hAnsi="Times New Roman"/>
          <w:sz w:val="24"/>
          <w:szCs w:val="24"/>
        </w:rPr>
        <w:t>С. 9-10</w:t>
      </w:r>
      <w:r w:rsidR="00230762">
        <w:rPr>
          <w:rFonts w:ascii="Times New Roman" w:hAnsi="Times New Roman"/>
          <w:sz w:val="24"/>
          <w:szCs w:val="24"/>
        </w:rPr>
        <w:t>.</w:t>
      </w:r>
    </w:p>
    <w:p w:rsidR="000E4927" w:rsidRPr="000E4927" w:rsidRDefault="000E4927" w:rsidP="000E4927">
      <w:pPr>
        <w:pStyle w:val="a3"/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BB4145">
        <w:rPr>
          <w:rFonts w:ascii="Times New Roman" w:hAnsi="Times New Roman"/>
          <w:sz w:val="24"/>
          <w:szCs w:val="24"/>
        </w:rPr>
        <w:t>Козыро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, И. А. Современные подходы к терапии волчаночного нефрита у детей и подростков / И. А. </w:t>
      </w:r>
      <w:proofErr w:type="spellStart"/>
      <w:r w:rsidRPr="00BB4145">
        <w:rPr>
          <w:rFonts w:ascii="Times New Roman" w:hAnsi="Times New Roman"/>
          <w:sz w:val="24"/>
          <w:szCs w:val="24"/>
        </w:rPr>
        <w:t>Козыро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, А. В. </w:t>
      </w:r>
      <w:proofErr w:type="spellStart"/>
      <w:r w:rsidRPr="00BB4145">
        <w:rPr>
          <w:rFonts w:ascii="Times New Roman" w:hAnsi="Times New Roman"/>
          <w:sz w:val="24"/>
          <w:szCs w:val="24"/>
        </w:rPr>
        <w:t>Сукало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// Нефрология. - 2012. - Т. 16, № 1. - С. 74-81. - </w:t>
      </w:r>
      <w:proofErr w:type="spellStart"/>
      <w:r w:rsidRPr="00BB4145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B4145">
        <w:rPr>
          <w:rFonts w:ascii="Times New Roman" w:hAnsi="Times New Roman"/>
          <w:sz w:val="24"/>
          <w:szCs w:val="24"/>
        </w:rPr>
        <w:t>.: с. 81 (7 назв.)</w:t>
      </w:r>
      <w:r w:rsidR="00230762">
        <w:rPr>
          <w:rFonts w:ascii="Times New Roman" w:hAnsi="Times New Roman"/>
          <w:sz w:val="24"/>
          <w:szCs w:val="24"/>
        </w:rPr>
        <w:t>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BB4145">
        <w:rPr>
          <w:rFonts w:ascii="Times New Roman" w:hAnsi="Times New Roman"/>
          <w:sz w:val="24"/>
          <w:szCs w:val="24"/>
        </w:rPr>
        <w:t>Лыскина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, Галина Афанасьевна. </w:t>
      </w:r>
      <w:proofErr w:type="gramStart"/>
      <w:r w:rsidRPr="00BB4145">
        <w:rPr>
          <w:rFonts w:ascii="Times New Roman" w:hAnsi="Times New Roman"/>
          <w:sz w:val="24"/>
          <w:szCs w:val="24"/>
        </w:rPr>
        <w:t>Неспецифический</w:t>
      </w:r>
      <w:proofErr w:type="gramEnd"/>
      <w:r w:rsidRPr="00BB4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45">
        <w:rPr>
          <w:rFonts w:ascii="Times New Roman" w:hAnsi="Times New Roman"/>
          <w:sz w:val="24"/>
          <w:szCs w:val="24"/>
        </w:rPr>
        <w:t>аортоартериит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: проблемы проведения комплексной терапии и оценки ее эффективности / Г. А. </w:t>
      </w:r>
      <w:proofErr w:type="spellStart"/>
      <w:r w:rsidRPr="00BB4145">
        <w:rPr>
          <w:rFonts w:ascii="Times New Roman" w:hAnsi="Times New Roman"/>
          <w:sz w:val="24"/>
          <w:szCs w:val="24"/>
        </w:rPr>
        <w:t>Лыскина</w:t>
      </w:r>
      <w:proofErr w:type="spellEnd"/>
      <w:r w:rsidRPr="00BB4145">
        <w:rPr>
          <w:rFonts w:ascii="Times New Roman" w:hAnsi="Times New Roman"/>
          <w:sz w:val="24"/>
          <w:szCs w:val="24"/>
        </w:rPr>
        <w:t>, Ю. О. Костина // Педиатрия. - 2012. - Т</w:t>
      </w:r>
      <w:r>
        <w:rPr>
          <w:rFonts w:ascii="Times New Roman" w:hAnsi="Times New Roman"/>
          <w:sz w:val="24"/>
          <w:szCs w:val="24"/>
        </w:rPr>
        <w:t>. 91, № 5. - С. 22-27. - рис.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4145">
        <w:rPr>
          <w:rFonts w:ascii="Times New Roman" w:hAnsi="Times New Roman"/>
          <w:sz w:val="24"/>
          <w:szCs w:val="24"/>
        </w:rPr>
        <w:t xml:space="preserve">Опыт применения </w:t>
      </w:r>
      <w:proofErr w:type="spellStart"/>
      <w:r w:rsidRPr="00BB4145">
        <w:rPr>
          <w:rFonts w:ascii="Times New Roman" w:hAnsi="Times New Roman"/>
          <w:sz w:val="24"/>
          <w:szCs w:val="24"/>
        </w:rPr>
        <w:t>адалимумаба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у больного </w:t>
      </w:r>
      <w:proofErr w:type="spellStart"/>
      <w:r w:rsidRPr="00BB4145">
        <w:rPr>
          <w:rFonts w:ascii="Times New Roman" w:hAnsi="Times New Roman"/>
          <w:sz w:val="24"/>
          <w:szCs w:val="24"/>
        </w:rPr>
        <w:t>ювенильным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45">
        <w:rPr>
          <w:rFonts w:ascii="Times New Roman" w:hAnsi="Times New Roman"/>
          <w:sz w:val="24"/>
          <w:szCs w:val="24"/>
        </w:rPr>
        <w:t>анкилозирующим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спондилитом и </w:t>
      </w:r>
      <w:proofErr w:type="spellStart"/>
      <w:r w:rsidRPr="00BB4145">
        <w:rPr>
          <w:rFonts w:ascii="Times New Roman" w:hAnsi="Times New Roman"/>
          <w:sz w:val="24"/>
          <w:szCs w:val="24"/>
        </w:rPr>
        <w:t>увеитом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/ Е. В. </w:t>
      </w:r>
      <w:proofErr w:type="spellStart"/>
      <w:r w:rsidRPr="00BB4145">
        <w:rPr>
          <w:rFonts w:ascii="Times New Roman" w:hAnsi="Times New Roman"/>
          <w:sz w:val="24"/>
          <w:szCs w:val="24"/>
        </w:rPr>
        <w:t>Митенко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[и др.] // Педиатрическая фармакология. - 2012. - Т. 9, № 1. - С. 118-124. - рис. - </w:t>
      </w:r>
      <w:proofErr w:type="spellStart"/>
      <w:r w:rsidRPr="00BB4145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B4145">
        <w:rPr>
          <w:rFonts w:ascii="Times New Roman" w:hAnsi="Times New Roman"/>
          <w:sz w:val="24"/>
          <w:szCs w:val="24"/>
        </w:rPr>
        <w:t>.: с. 124 (22 назв.)</w:t>
      </w:r>
      <w:r w:rsidR="00230762">
        <w:rPr>
          <w:rFonts w:ascii="Times New Roman" w:hAnsi="Times New Roman"/>
          <w:sz w:val="24"/>
          <w:szCs w:val="24"/>
        </w:rPr>
        <w:t>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4145">
        <w:rPr>
          <w:rFonts w:ascii="Times New Roman" w:hAnsi="Times New Roman"/>
          <w:sz w:val="24"/>
          <w:szCs w:val="24"/>
        </w:rPr>
        <w:t xml:space="preserve">Опыт применения </w:t>
      </w:r>
      <w:proofErr w:type="spellStart"/>
      <w:r w:rsidRPr="00BB4145">
        <w:rPr>
          <w:rFonts w:ascii="Times New Roman" w:hAnsi="Times New Roman"/>
          <w:sz w:val="24"/>
          <w:szCs w:val="24"/>
        </w:rPr>
        <w:t>ритуксимаба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у больных системным </w:t>
      </w:r>
      <w:proofErr w:type="spellStart"/>
      <w:r w:rsidRPr="00BB4145">
        <w:rPr>
          <w:rFonts w:ascii="Times New Roman" w:hAnsi="Times New Roman"/>
          <w:sz w:val="24"/>
          <w:szCs w:val="24"/>
        </w:rPr>
        <w:t>ювенильным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45">
        <w:rPr>
          <w:rFonts w:ascii="Times New Roman" w:hAnsi="Times New Roman"/>
          <w:sz w:val="24"/>
          <w:szCs w:val="24"/>
        </w:rPr>
        <w:t>идиопатическим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артритом / Е. И. Алексеева [и др.] // Педиатрическая фармакология. - 2012. - Т. 9, № 4. - С. 75-80. - рис. - </w:t>
      </w:r>
      <w:proofErr w:type="spellStart"/>
      <w:r w:rsidRPr="00BB4145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B4145">
        <w:rPr>
          <w:rFonts w:ascii="Times New Roman" w:hAnsi="Times New Roman"/>
          <w:sz w:val="24"/>
          <w:szCs w:val="24"/>
        </w:rPr>
        <w:t>.: с. 80 (30 назв.)</w:t>
      </w:r>
      <w:r w:rsidR="00230762">
        <w:rPr>
          <w:rFonts w:ascii="Times New Roman" w:hAnsi="Times New Roman"/>
          <w:sz w:val="24"/>
          <w:szCs w:val="24"/>
        </w:rPr>
        <w:t>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4145">
        <w:rPr>
          <w:rFonts w:ascii="Times New Roman" w:hAnsi="Times New Roman"/>
          <w:sz w:val="24"/>
          <w:szCs w:val="24"/>
        </w:rPr>
        <w:t xml:space="preserve">Острая ревматическая лихорадка у детей: облик болезни в начале XXI века / М. Г. </w:t>
      </w:r>
      <w:proofErr w:type="spellStart"/>
      <w:r w:rsidRPr="00BB4145">
        <w:rPr>
          <w:rFonts w:ascii="Times New Roman" w:hAnsi="Times New Roman"/>
          <w:sz w:val="24"/>
          <w:szCs w:val="24"/>
        </w:rPr>
        <w:t>Кантемирова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[и др.] // Педиатрия. - 2012. - Т</w:t>
      </w:r>
      <w:r>
        <w:rPr>
          <w:rFonts w:ascii="Times New Roman" w:hAnsi="Times New Roman"/>
          <w:sz w:val="24"/>
          <w:szCs w:val="24"/>
        </w:rPr>
        <w:t>. 91, № 5. - С. 17-21. - рис.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4145">
        <w:rPr>
          <w:rFonts w:ascii="Times New Roman" w:hAnsi="Times New Roman"/>
          <w:sz w:val="24"/>
          <w:szCs w:val="24"/>
        </w:rPr>
        <w:t xml:space="preserve">Поражение почек при системной красной волчанке у детей и подростков: особенности течения и исходы / М. К. Соболева [и др.] // Педиатрия. - 2012. - Т. 91, № 6. - С. 22-28. - табл. - </w:t>
      </w:r>
      <w:proofErr w:type="spellStart"/>
      <w:r w:rsidRPr="00BB4145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B4145">
        <w:rPr>
          <w:rFonts w:ascii="Times New Roman" w:hAnsi="Times New Roman"/>
          <w:sz w:val="24"/>
          <w:szCs w:val="24"/>
        </w:rPr>
        <w:t>.: с. 27-28 (15 назв.)</w:t>
      </w:r>
      <w:r w:rsidR="00230762">
        <w:rPr>
          <w:rFonts w:ascii="Times New Roman" w:hAnsi="Times New Roman"/>
          <w:sz w:val="24"/>
          <w:szCs w:val="24"/>
        </w:rPr>
        <w:t>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4145">
        <w:rPr>
          <w:rFonts w:ascii="Times New Roman" w:hAnsi="Times New Roman"/>
          <w:sz w:val="24"/>
          <w:szCs w:val="24"/>
        </w:rPr>
        <w:t xml:space="preserve">Семейные особенности сочетанной </w:t>
      </w:r>
      <w:proofErr w:type="spellStart"/>
      <w:proofErr w:type="gramStart"/>
      <w:r w:rsidRPr="00BB4145">
        <w:rPr>
          <w:rFonts w:ascii="Times New Roman" w:hAnsi="Times New Roman"/>
          <w:sz w:val="24"/>
          <w:szCs w:val="24"/>
        </w:rPr>
        <w:t>сердечно-сосудистой</w:t>
      </w:r>
      <w:proofErr w:type="spellEnd"/>
      <w:proofErr w:type="gramEnd"/>
      <w:r w:rsidRPr="00BB4145">
        <w:rPr>
          <w:rFonts w:ascii="Times New Roman" w:hAnsi="Times New Roman"/>
          <w:sz w:val="24"/>
          <w:szCs w:val="24"/>
        </w:rPr>
        <w:t xml:space="preserve"> и почечной патологии на фоне недифференцированной дисплазии соединительной ткани и программа профилактики у детей-пробандов / К. Ю. Николаев [и др.] // Педиатрия. - 2012. - Т. 91, № 5. - С. 6 -11. - табл. - </w:t>
      </w:r>
      <w:proofErr w:type="spellStart"/>
      <w:r w:rsidRPr="00BB4145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B4145">
        <w:rPr>
          <w:rFonts w:ascii="Times New Roman" w:hAnsi="Times New Roman"/>
          <w:sz w:val="24"/>
          <w:szCs w:val="24"/>
        </w:rPr>
        <w:t>.: с. 10 -11 (24 назв.)</w:t>
      </w:r>
      <w:r w:rsidR="00230762">
        <w:rPr>
          <w:rFonts w:ascii="Times New Roman" w:hAnsi="Times New Roman"/>
          <w:sz w:val="24"/>
          <w:szCs w:val="24"/>
        </w:rPr>
        <w:t>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BB4145">
        <w:rPr>
          <w:rFonts w:ascii="Times New Roman" w:hAnsi="Times New Roman"/>
          <w:sz w:val="24"/>
          <w:szCs w:val="24"/>
        </w:rPr>
        <w:t>Сичинава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, Ира </w:t>
      </w:r>
      <w:proofErr w:type="spellStart"/>
      <w:r w:rsidRPr="00BB4145">
        <w:rPr>
          <w:rFonts w:ascii="Times New Roman" w:hAnsi="Times New Roman"/>
          <w:sz w:val="24"/>
          <w:szCs w:val="24"/>
        </w:rPr>
        <w:t>Вениевна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. Особенности проявлений </w:t>
      </w:r>
      <w:proofErr w:type="spellStart"/>
      <w:r w:rsidRPr="00BB4145">
        <w:rPr>
          <w:rFonts w:ascii="Times New Roman" w:hAnsi="Times New Roman"/>
          <w:sz w:val="24"/>
          <w:szCs w:val="24"/>
        </w:rPr>
        <w:t>гастродуоденальной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патологии у детей с дисплазией соединительной ткани / И. В. </w:t>
      </w:r>
      <w:proofErr w:type="spellStart"/>
      <w:r w:rsidRPr="00BB4145">
        <w:rPr>
          <w:rFonts w:ascii="Times New Roman" w:hAnsi="Times New Roman"/>
          <w:sz w:val="24"/>
          <w:szCs w:val="24"/>
        </w:rPr>
        <w:t>Сичинава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, А. Я. Шишов, Н. А. Белоусова // Педиатрия. - 2012. - </w:t>
      </w:r>
      <w:r>
        <w:rPr>
          <w:rFonts w:ascii="Times New Roman" w:hAnsi="Times New Roman"/>
          <w:sz w:val="24"/>
          <w:szCs w:val="24"/>
        </w:rPr>
        <w:t>Т. 91, № 4. - С.6-10. - табл.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4145">
        <w:rPr>
          <w:rFonts w:ascii="Times New Roman" w:hAnsi="Times New Roman"/>
          <w:sz w:val="24"/>
          <w:szCs w:val="24"/>
        </w:rPr>
        <w:t>Случаи болезни Кавасаки у детей: сложности диагностики, особенности лечения / И. П. Баранова [и др.] // Детские инфекции. - 20</w:t>
      </w:r>
      <w:r>
        <w:rPr>
          <w:rFonts w:ascii="Times New Roman" w:hAnsi="Times New Roman"/>
          <w:sz w:val="24"/>
          <w:szCs w:val="24"/>
        </w:rPr>
        <w:t>12. - Т. 11, № 2. - С. 71-72</w:t>
      </w:r>
      <w:r w:rsidR="00230762">
        <w:rPr>
          <w:rFonts w:ascii="Times New Roman" w:hAnsi="Times New Roman"/>
          <w:sz w:val="24"/>
          <w:szCs w:val="24"/>
        </w:rPr>
        <w:t>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4145">
        <w:rPr>
          <w:rFonts w:ascii="Times New Roman" w:hAnsi="Times New Roman"/>
          <w:sz w:val="24"/>
          <w:szCs w:val="24"/>
        </w:rPr>
        <w:t xml:space="preserve">Современные представления о синдроме недифференцированной дисплазии соединительной ткани / Е. П. Тимофеева [и др.] // Российский вестник </w:t>
      </w:r>
      <w:proofErr w:type="spellStart"/>
      <w:r w:rsidRPr="00BB4145">
        <w:rPr>
          <w:rFonts w:ascii="Times New Roman" w:hAnsi="Times New Roman"/>
          <w:sz w:val="24"/>
          <w:szCs w:val="24"/>
        </w:rPr>
        <w:t>перинатологии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и педиатрии. - 2012. - </w:t>
      </w:r>
      <w:r>
        <w:rPr>
          <w:rFonts w:ascii="Times New Roman" w:hAnsi="Times New Roman"/>
          <w:sz w:val="24"/>
          <w:szCs w:val="24"/>
        </w:rPr>
        <w:t>Т. 57, № 4 (1). - С. 112-116</w:t>
      </w:r>
      <w:r w:rsidR="00230762">
        <w:rPr>
          <w:rFonts w:ascii="Times New Roman" w:hAnsi="Times New Roman"/>
          <w:sz w:val="24"/>
          <w:szCs w:val="24"/>
        </w:rPr>
        <w:t>.</w:t>
      </w:r>
    </w:p>
    <w:p w:rsidR="00BB4145" w:rsidRDefault="00BB4145" w:rsidP="000E4927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BB4145" w:rsidRPr="00BB4145" w:rsidRDefault="00BB4145" w:rsidP="000E492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BB4145">
        <w:rPr>
          <w:rFonts w:ascii="Times New Roman" w:hAnsi="Times New Roman"/>
          <w:sz w:val="24"/>
          <w:szCs w:val="24"/>
        </w:rPr>
        <w:t>Фармакоэкономические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аспекты терапии </w:t>
      </w:r>
      <w:proofErr w:type="spellStart"/>
      <w:r w:rsidRPr="00BB4145">
        <w:rPr>
          <w:rFonts w:ascii="Times New Roman" w:hAnsi="Times New Roman"/>
          <w:sz w:val="24"/>
          <w:szCs w:val="24"/>
        </w:rPr>
        <w:t>ювенильного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45">
        <w:rPr>
          <w:rFonts w:ascii="Times New Roman" w:hAnsi="Times New Roman"/>
          <w:sz w:val="24"/>
          <w:szCs w:val="24"/>
        </w:rPr>
        <w:t>идиопатического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артрита </w:t>
      </w:r>
      <w:proofErr w:type="spellStart"/>
      <w:r w:rsidRPr="00BB4145">
        <w:rPr>
          <w:rFonts w:ascii="Times New Roman" w:hAnsi="Times New Roman"/>
          <w:sz w:val="24"/>
          <w:szCs w:val="24"/>
        </w:rPr>
        <w:t>адалимумабом</w:t>
      </w:r>
      <w:proofErr w:type="spellEnd"/>
      <w:r w:rsidRPr="00BB4145">
        <w:rPr>
          <w:rFonts w:ascii="Times New Roman" w:hAnsi="Times New Roman"/>
          <w:sz w:val="24"/>
          <w:szCs w:val="24"/>
        </w:rPr>
        <w:t xml:space="preserve"> / К. Симпсон [и др.] // Педиатрическая фармакология. - 2012. - Т. 9, № 4. - С. 53-58. - рис., табл. - </w:t>
      </w:r>
      <w:proofErr w:type="spellStart"/>
      <w:r w:rsidRPr="00BB4145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B4145">
        <w:rPr>
          <w:rFonts w:ascii="Times New Roman" w:hAnsi="Times New Roman"/>
          <w:sz w:val="24"/>
          <w:szCs w:val="24"/>
        </w:rPr>
        <w:t>.: с. 58 (17 назв.)</w:t>
      </w:r>
      <w:r w:rsidR="00230762">
        <w:rPr>
          <w:rFonts w:ascii="Times New Roman" w:hAnsi="Times New Roman"/>
          <w:sz w:val="24"/>
          <w:szCs w:val="24"/>
        </w:rPr>
        <w:t>.</w:t>
      </w:r>
    </w:p>
    <w:sectPr w:rsidR="00BB4145" w:rsidRPr="00BB4145" w:rsidSect="0021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37D35"/>
    <w:multiLevelType w:val="hybridMultilevel"/>
    <w:tmpl w:val="3A9C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145"/>
    <w:rsid w:val="00040052"/>
    <w:rsid w:val="000E4927"/>
    <w:rsid w:val="00217081"/>
    <w:rsid w:val="00230762"/>
    <w:rsid w:val="003F7F12"/>
    <w:rsid w:val="00AD16D9"/>
    <w:rsid w:val="00BB4145"/>
    <w:rsid w:val="00C1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145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BB4145"/>
    <w:rPr>
      <w:rFonts w:ascii="Times New Roman" w:eastAsia="Times New Roman" w:hAnsi="Times New Roman"/>
    </w:rPr>
  </w:style>
  <w:style w:type="paragraph" w:styleId="a5">
    <w:name w:val="No Spacing"/>
    <w:link w:val="a4"/>
    <w:uiPriority w:val="1"/>
    <w:qFormat/>
    <w:rsid w:val="00BB4145"/>
    <w:pPr>
      <w:spacing w:line="240" w:lineRule="auto"/>
      <w:ind w:firstLine="0"/>
      <w:jc w:val="left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0E4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9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Северская Центральная Городская Библиотека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библиотеки</dc:creator>
  <cp:keywords/>
  <dc:description/>
  <cp:lastModifiedBy>Сотрудник библиотеки</cp:lastModifiedBy>
  <cp:revision>5</cp:revision>
  <dcterms:created xsi:type="dcterms:W3CDTF">2013-04-03T06:20:00Z</dcterms:created>
  <dcterms:modified xsi:type="dcterms:W3CDTF">2013-04-15T07:56:00Z</dcterms:modified>
</cp:coreProperties>
</file>